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1"/>
        <w:framePr w:h="1440" w:hAnchor="page" w:hRule="atLeast" w:hSpace="38" w:vAnchor="text" w:w="1825" w:wrap="notBeside" w:x="5245" w:y="103"/>
        <w:pBdr/>
        <w:spacing/>
        <w:ind w:left="142"/>
        <w:jc w:val="center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4894" cy="9144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4894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44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01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01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 </w:t>
      </w:r>
      <w:r>
        <w:rPr>
          <w:rFonts w:ascii="Times New Roman" w:hAnsi="Times New Roman" w:cs="Times New Roman"/>
          <w:b/>
        </w:rPr>
      </w:r>
    </w:p>
    <w:p>
      <w:pPr>
        <w:pStyle w:val="701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pStyle w:val="701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МУНИЦИПАЛЬНОГО ОБРАЗОВАНИЯ «НИЖНЕКАМСКИЙ МУНИЦИПАЛЬНЫЙ РАЙОН» РЕСПУБЛИКИ ТАТАРСТАН</w:t>
      </w:r>
      <w:r>
        <w:rPr>
          <w:rFonts w:ascii="Times New Roman" w:hAnsi="Times New Roman" w:cs="Times New Roman"/>
          <w:b/>
        </w:rPr>
      </w:r>
    </w:p>
    <w:tbl>
      <w:tblPr>
        <w:tblW w:w="0" w:type="auto"/>
        <w:tblInd w:w="318" w:type="dxa"/>
        <w:tblBorders>
          <w:top w:val="single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598" w:type="dxa"/>
            <w:vAlign w:val="top"/>
            <w:textDirection w:val="lrTb"/>
            <w:noWrap w:val="false"/>
          </w:tcPr>
          <w:p>
            <w:pPr>
              <w:pStyle w:val="701"/>
              <w:keepNext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</w:tr>
    </w:tbl>
    <w:p>
      <w:pPr>
        <w:pStyle w:val="701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01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1"/>
        <w:keepNext w:val="tru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701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</w:rPr>
        <w:t xml:space="preserve"> 29</w:t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701"/>
        <w:keepNext w:val="true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г.</w:t>
        <w:tab/>
        <w:t xml:space="preserve">                                                                           г. Нижнекамск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keepNext w:val="true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б установлении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особого противопожарного режима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Нижнекамского 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1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>
        <w:rPr>
          <w:rFonts w:ascii="Times New Roman" w:hAnsi="Times New Roman" w:cs="Times New Roman"/>
          <w:b/>
          <w:sz w:val="28"/>
          <w:szCs w:val="28"/>
        </w:rPr>
        <w:t xml:space="preserve">25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b/>
          <w:sz w:val="28"/>
          <w:szCs w:val="28"/>
        </w:rPr>
        <w:t xml:space="preserve">11</w:t>
      </w:r>
      <w:r>
        <w:rPr>
          <w:rFonts w:ascii="Times New Roman" w:hAnsi="Times New Roman" w:cs="Times New Roman"/>
          <w:b/>
          <w:sz w:val="28"/>
          <w:szCs w:val="28"/>
        </w:rPr>
        <w:t xml:space="preserve"> января 202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8"/>
        <w:pBdr/>
        <w:shd w:val="clear" w:color="auto" w:fill="auto"/>
        <w:spacing w:after="0" w:before="0"/>
        <w:ind w:right="23" w:firstLine="669" w:left="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8"/>
        <w:pBdr/>
        <w:shd w:val="clear" w:color="auto" w:fill="auto"/>
        <w:spacing w:after="0" w:before="0"/>
        <w:ind w:right="23" w:firstLine="669" w:left="40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</w:t>
      </w:r>
      <w:r>
        <w:rPr>
          <w:bCs/>
          <w:sz w:val="28"/>
          <w:szCs w:val="28"/>
        </w:rPr>
        <w:t xml:space="preserve">обеспечения пожарной безопасности</w:t>
      </w:r>
      <w:r>
        <w:rPr>
          <w:bCs/>
          <w:sz w:val="28"/>
          <w:szCs w:val="28"/>
        </w:rPr>
        <w:t xml:space="preserve"> проведения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новогодних</w:t>
      </w:r>
      <w:r>
        <w:rPr>
          <w:bCs/>
          <w:sz w:val="28"/>
          <w:szCs w:val="28"/>
        </w:rPr>
        <w:t xml:space="preserve"> и рождественских </w:t>
      </w:r>
      <w:r>
        <w:rPr>
          <w:bCs/>
          <w:sz w:val="28"/>
          <w:szCs w:val="28"/>
        </w:rPr>
        <w:t xml:space="preserve">праздничных мероприятий</w:t>
      </w:r>
      <w:r>
        <w:rPr>
          <w:bCs/>
          <w:sz w:val="28"/>
          <w:szCs w:val="28"/>
        </w:rPr>
        <w:t xml:space="preserve">, защиты здоровья и жизни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граждан, имущества физических и юридических лиц, государственного </w:t>
      </w:r>
      <w:r>
        <w:rPr>
          <w:bCs/>
          <w:sz w:val="28"/>
          <w:szCs w:val="28"/>
        </w:rPr>
        <w:t xml:space="preserve">или</w:t>
      </w:r>
      <w:r>
        <w:rPr>
          <w:bCs/>
          <w:sz w:val="28"/>
          <w:szCs w:val="28"/>
        </w:rPr>
        <w:t xml:space="preserve"> муниципального имущества</w:t>
      </w:r>
      <w:bookmarkStart w:id="0" w:name="_Hlk437005063"/>
      <w:r>
        <w:rPr>
          <w:bCs/>
          <w:sz w:val="28"/>
          <w:szCs w:val="28"/>
        </w:rPr>
        <w:t xml:space="preserve"> от пожаров</w:t>
      </w:r>
      <w:r>
        <w:rPr>
          <w:bCs/>
          <w:color w:val="000000"/>
          <w:sz w:val="28"/>
          <w:szCs w:val="28"/>
        </w:rPr>
        <w:t xml:space="preserve">,</w:t>
      </w:r>
      <w:r>
        <w:rPr>
          <w:bCs/>
          <w:color w:val="000000"/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со статьей 30 Федерального закона от 21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1994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69-ФЗ «О пожарной безопасности» и статьей 25 За</w:t>
      </w:r>
      <w:r>
        <w:rPr>
          <w:sz w:val="28"/>
          <w:szCs w:val="28"/>
        </w:rPr>
        <w:t xml:space="preserve">кона Республики Татарстан от 18.05.</w:t>
      </w:r>
      <w:r>
        <w:rPr>
          <w:sz w:val="28"/>
          <w:szCs w:val="28"/>
        </w:rPr>
        <w:t xml:space="preserve">1993 № 1866-</w:t>
      </w:r>
      <w:r>
        <w:rPr>
          <w:sz w:val="28"/>
          <w:szCs w:val="28"/>
          <w:lang w:val="en-US"/>
        </w:rPr>
        <w:t xml:space="preserve">XII</w:t>
      </w:r>
      <w:r>
        <w:rPr>
          <w:sz w:val="28"/>
          <w:szCs w:val="28"/>
        </w:rPr>
        <w:t xml:space="preserve"> «О пожарной безопасности», Постановления Кабинета Мини</w:t>
      </w:r>
      <w:r>
        <w:rPr>
          <w:sz w:val="28"/>
          <w:szCs w:val="28"/>
        </w:rPr>
        <w:t xml:space="preserve">стров Республики Татарстан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.12.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установлении на территории Республики Татарстан особого противопожарного режима»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муниципального образования «Нижнекамский муниципальный район» Республики Татарстан </w:t>
      </w:r>
      <w:r>
        <w:rPr>
          <w:b/>
          <w:bCs/>
          <w:sz w:val="28"/>
          <w:szCs w:val="28"/>
        </w:rPr>
        <w:t xml:space="preserve">решила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</w:p>
    <w:p>
      <w:pPr>
        <w:pStyle w:val="708"/>
        <w:numPr>
          <w:ilvl w:val="0"/>
          <w:numId w:val="1"/>
        </w:numPr>
        <w:pBdr/>
        <w:shd w:val="clear" w:color="auto" w:fill="auto"/>
        <w:tabs>
          <w:tab w:val="left" w:leader="none" w:pos="1276"/>
        </w:tabs>
        <w:spacing w:after="0" w:before="0"/>
        <w:ind w:right="23" w:firstLine="669" w:left="40"/>
        <w:rPr>
          <w:sz w:val="28"/>
          <w:szCs w:val="28"/>
        </w:rPr>
      </w:pPr>
      <w:r>
        <w:rPr>
          <w:sz w:val="28"/>
          <w:szCs w:val="28"/>
        </w:rPr>
        <w:t xml:space="preserve">Установить</w:t>
      </w:r>
      <w:r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Нижнекамского муниципального района</w:t>
      </w:r>
      <w:r>
        <w:rPr>
          <w:sz w:val="28"/>
          <w:szCs w:val="28"/>
        </w:rPr>
        <w:t xml:space="preserve"> особый противопожарный режим в период с 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 января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8"/>
        <w:numPr>
          <w:ilvl w:val="0"/>
          <w:numId w:val="1"/>
        </w:numPr>
        <w:pBdr/>
        <w:shd w:val="clear" w:color="auto" w:fill="auto"/>
        <w:tabs>
          <w:tab w:val="left" w:leader="none" w:pos="1276"/>
        </w:tabs>
        <w:spacing w:after="0" w:before="0"/>
        <w:ind w:right="23" w:firstLine="669" w:left="40"/>
        <w:rPr>
          <w:sz w:val="28"/>
          <w:szCs w:val="28"/>
        </w:rPr>
      </w:pPr>
      <w:r>
        <w:rPr>
          <w:sz w:val="28"/>
          <w:szCs w:val="28"/>
        </w:rPr>
        <w:t xml:space="preserve">На период действия особого противопожарного режима установить запрет на использов</w:t>
      </w:r>
      <w:r>
        <w:rPr>
          <w:sz w:val="28"/>
          <w:szCs w:val="28"/>
        </w:rPr>
        <w:t xml:space="preserve">ание пиротехнических изделий</w:t>
      </w:r>
      <w:r>
        <w:rPr>
          <w:sz w:val="28"/>
          <w:szCs w:val="28"/>
        </w:rPr>
        <w:t xml:space="preserve"> 3 класс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опасности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территориях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расположенных в пределах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8"/>
        <w:pBdr/>
        <w:shd w:val="clear" w:color="auto" w:fill="auto"/>
        <w:tabs>
          <w:tab w:val="left" w:leader="none" w:pos="1276"/>
        </w:tabs>
        <w:spacing w:after="0" w:before="0"/>
        <w:ind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00 метров от границ объектов промышленности, транспортной инфраструктуры, топ</w:t>
      </w:r>
      <w:r>
        <w:rPr>
          <w:sz w:val="28"/>
          <w:szCs w:val="28"/>
        </w:rPr>
        <w:t xml:space="preserve">ливно-энергетического комплекса;</w:t>
      </w:r>
      <w:r>
        <w:rPr>
          <w:sz w:val="28"/>
          <w:szCs w:val="28"/>
        </w:rPr>
      </w:r>
    </w:p>
    <w:p>
      <w:pPr>
        <w:pStyle w:val="708"/>
        <w:pBdr/>
        <w:shd w:val="clear" w:color="auto" w:fill="auto"/>
        <w:tabs>
          <w:tab w:val="left" w:leader="none" w:pos="1276"/>
        </w:tabs>
        <w:spacing w:after="0" w:before="0"/>
        <w:ind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0 метров от границ объектов жилищно-коммунального хозяйства, сельского хозяйства, объектов с массо</w:t>
      </w:r>
      <w:r>
        <w:rPr>
          <w:sz w:val="28"/>
          <w:szCs w:val="28"/>
        </w:rPr>
        <w:t xml:space="preserve">вым пребыванием людей, автомобильных дорог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частных домовладений;</w:t>
      </w:r>
      <w:r>
        <w:rPr>
          <w:sz w:val="28"/>
          <w:szCs w:val="28"/>
        </w:rPr>
      </w:r>
    </w:p>
    <w:p>
      <w:pPr>
        <w:pStyle w:val="708"/>
        <w:numPr>
          <w:ilvl w:val="0"/>
          <w:numId w:val="21"/>
        </w:numPr>
        <w:pBdr/>
        <w:shd w:val="clear" w:color="auto" w:fill="auto"/>
        <w:tabs>
          <w:tab w:val="left" w:leader="none" w:pos="1276"/>
        </w:tabs>
        <w:spacing w:after="0" w:before="0"/>
        <w:ind w:right="23"/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етров от </w:t>
      </w:r>
      <w:r>
        <w:rPr>
          <w:sz w:val="28"/>
          <w:szCs w:val="28"/>
        </w:rPr>
        <w:t xml:space="preserve">многоквартирных жилых домов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3"/>
        <w:numPr>
          <w:ilvl w:val="0"/>
          <w:numId w:val="1"/>
        </w:numPr>
        <w:pBdr/>
        <w:shd w:val="clear" w:color="auto" w:fill="auto"/>
        <w:tabs>
          <w:tab w:val="left" w:leader="none" w:pos="851"/>
          <w:tab w:val="left" w:leader="none" w:pos="1276"/>
        </w:tabs>
        <w:spacing/>
        <w:ind w:right="20" w:firstLine="720"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объектов,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30- и 500-метровых зонах от которых запрещено использование пиротехнических изделий в период действия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особого противопожарного режима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(приложение)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numPr>
          <w:ilvl w:val="0"/>
          <w:numId w:val="1"/>
        </w:numPr>
        <w:pBdr/>
        <w:shd w:val="clear" w:color="auto" w:fill="auto"/>
        <w:tabs>
          <w:tab w:val="left" w:leader="none" w:pos="851"/>
          <w:tab w:val="left" w:leader="none" w:pos="1276"/>
        </w:tabs>
        <w:spacing w:after="0"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Определить местом использования пиротехнических изделий организациями и гражданами г. Нижнекамска площадк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размером 50*50 метров, на территории ог</w:t>
      </w:r>
      <w:r>
        <w:rPr>
          <w:sz w:val="28"/>
          <w:szCs w:val="28"/>
        </w:rPr>
        <w:t xml:space="preserve">раниченной улицей Менделеева и </w:t>
      </w:r>
      <w:r>
        <w:rPr>
          <w:sz w:val="28"/>
          <w:szCs w:val="28"/>
        </w:rPr>
        <w:t xml:space="preserve">проспектом Вахитова, напротив дома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86 по проспекту Химиков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пустырь в районе дома 4 по ул</w:t>
      </w:r>
      <w:r>
        <w:rPr>
          <w:sz w:val="28"/>
          <w:szCs w:val="28"/>
        </w:rPr>
        <w:t xml:space="preserve">ице</w:t>
      </w:r>
      <w:r>
        <w:rPr>
          <w:sz w:val="28"/>
          <w:szCs w:val="28"/>
        </w:rPr>
        <w:t xml:space="preserve"> Южная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8"/>
        <w:numPr>
          <w:ilvl w:val="0"/>
          <w:numId w:val="1"/>
        </w:numPr>
        <w:pBdr/>
        <w:shd w:val="clear" w:color="auto" w:fill="auto"/>
        <w:tabs>
          <w:tab w:val="left" w:leader="none" w:pos="851"/>
          <w:tab w:val="left" w:leader="none" w:pos="1276"/>
        </w:tabs>
        <w:spacing w:after="0" w:before="0" w:line="322" w:lineRule="exact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аместител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руководителя Исполнительного комитета Нижнекамского муниципального района по ЖКХ</w:t>
      </w:r>
      <w:r>
        <w:rPr>
          <w:sz w:val="28"/>
          <w:szCs w:val="28"/>
        </w:rPr>
        <w:t xml:space="preserve"> (Парамонов М.Г.) совместно с МБУ 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Дирекция Единого заказчика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Нижнекамска</w:t>
      </w:r>
      <w:r>
        <w:rPr>
          <w:sz w:val="28"/>
          <w:szCs w:val="28"/>
        </w:rPr>
        <w:t xml:space="preserve">» (</w:t>
      </w:r>
      <w:r>
        <w:rPr>
          <w:sz w:val="28"/>
          <w:szCs w:val="28"/>
        </w:rPr>
        <w:t xml:space="preserve">Ситдик</w:t>
      </w:r>
      <w:r>
        <w:rPr>
          <w:sz w:val="28"/>
          <w:szCs w:val="28"/>
        </w:rPr>
        <w:t xml:space="preserve">ов Р.Р.),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У «Департамент строительства, жилищно-коммунального хозяйства и благоустройства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Нижнекамска» (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аландин Д.И.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ООО</w:t>
      </w:r>
      <w:r>
        <w:rPr>
          <w:sz w:val="28"/>
          <w:szCs w:val="28"/>
        </w:rPr>
        <w:t xml:space="preserve"> «Комплексное предприятие благоустройства» (</w:t>
      </w:r>
      <w:r>
        <w:rPr>
          <w:sz w:val="28"/>
          <w:szCs w:val="28"/>
        </w:rPr>
        <w:t xml:space="preserve">Закир</w:t>
      </w:r>
      <w:r>
        <w:rPr>
          <w:sz w:val="28"/>
          <w:szCs w:val="28"/>
        </w:rPr>
        <w:t xml:space="preserve">ов </w:t>
      </w:r>
      <w:r>
        <w:rPr>
          <w:sz w:val="28"/>
          <w:szCs w:val="28"/>
        </w:rPr>
        <w:t xml:space="preserve">А.А.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подготовить специальн</w:t>
      </w:r>
      <w:r>
        <w:rPr>
          <w:sz w:val="28"/>
          <w:szCs w:val="28"/>
        </w:rPr>
        <w:t xml:space="preserve">ые</w:t>
      </w:r>
      <w:r>
        <w:rPr>
          <w:sz w:val="28"/>
          <w:szCs w:val="28"/>
        </w:rPr>
        <w:t xml:space="preserve"> площадк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(указанн</w:t>
      </w:r>
      <w:r>
        <w:rPr>
          <w:sz w:val="28"/>
          <w:szCs w:val="28"/>
        </w:rPr>
        <w:t xml:space="preserve">ые</w:t>
      </w:r>
      <w:r>
        <w:rPr>
          <w:sz w:val="28"/>
          <w:szCs w:val="28"/>
        </w:rPr>
        <w:t xml:space="preserve"> в п.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настоящего распоряжения), </w:t>
      </w:r>
      <w:r>
        <w:rPr>
          <w:sz w:val="28"/>
          <w:szCs w:val="28"/>
        </w:rPr>
        <w:t xml:space="preserve">для запуска </w:t>
      </w:r>
      <w:r>
        <w:rPr>
          <w:sz w:val="28"/>
          <w:szCs w:val="28"/>
        </w:rPr>
        <w:t xml:space="preserve">пиротехнических изделий. Провести очистку от снега, выставить аншлаги и установить ограждение.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8"/>
        <w:numPr>
          <w:ilvl w:val="0"/>
          <w:numId w:val="1"/>
        </w:numPr>
        <w:pBdr/>
        <w:shd w:val="clear" w:color="auto" w:fill="auto"/>
        <w:tabs>
          <w:tab w:val="left" w:leader="none" w:pos="851"/>
          <w:tab w:val="left" w:leader="none" w:pos="1276"/>
        </w:tabs>
        <w:spacing w:after="0" w:before="0" w:line="322" w:lineRule="exact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  <w:t xml:space="preserve">Управлению образования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Гарифуллин А.Х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), Управлению дошкольного образования (</w:t>
      </w:r>
      <w:r>
        <w:rPr>
          <w:sz w:val="28"/>
          <w:szCs w:val="28"/>
        </w:rPr>
        <w:t xml:space="preserve">Андриановой С.А.</w:t>
      </w:r>
      <w:r>
        <w:rPr>
          <w:sz w:val="28"/>
          <w:szCs w:val="28"/>
        </w:rPr>
        <w:t xml:space="preserve">) Исполнительного комитета Нижнекам</w:t>
      </w:r>
      <w:r>
        <w:rPr>
          <w:sz w:val="28"/>
          <w:szCs w:val="28"/>
        </w:rPr>
        <w:t xml:space="preserve">ского муниципального района,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совместно с руководителями учебных и дошкольных заведений, Управлению по делам молодежи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Нижнекамского му</w:t>
      </w:r>
      <w:r>
        <w:rPr>
          <w:rFonts w:eastAsia="Calibri"/>
          <w:sz w:val="28"/>
          <w:szCs w:val="28"/>
        </w:rPr>
        <w:t xml:space="preserve">ниципального района (</w:t>
      </w:r>
      <w:r>
        <w:rPr>
          <w:rFonts w:eastAsia="Calibri"/>
          <w:sz w:val="28"/>
          <w:szCs w:val="28"/>
        </w:rPr>
        <w:t xml:space="preserve">Шаяхметов Ф.А.</w:t>
      </w:r>
      <w:r>
        <w:rPr>
          <w:rFonts w:eastAsia="Calibri"/>
          <w:sz w:val="28"/>
          <w:szCs w:val="28"/>
        </w:rPr>
        <w:t xml:space="preserve">),</w:t>
      </w:r>
      <w:bookmarkStart w:id="1" w:name="_Toc132425751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Управлению социальной защиты Министерства труда, занятости и социальной защиты</w:t>
      </w:r>
      <w:bookmarkEnd w:id="1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Нижнекамском муниципальном районе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Власенко </w:t>
      </w:r>
      <w:r>
        <w:rPr>
          <w:sz w:val="28"/>
          <w:szCs w:val="28"/>
        </w:rPr>
        <w:t xml:space="preserve">С.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708"/>
        <w:pBdr/>
        <w:shd w:val="clear" w:color="auto" w:fill="auto"/>
        <w:tabs>
          <w:tab w:val="left" w:leader="none" w:pos="851"/>
          <w:tab w:val="left" w:leader="none" w:pos="1276"/>
        </w:tabs>
        <w:spacing w:after="0"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осуществить комплекс мер по обеспечению пожарной безопасности в период подготовки и проведения новогодних праздничных мероприятий в подведомственных учреждениях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08"/>
        <w:pBdr/>
        <w:shd w:val="clear" w:color="auto" w:fill="auto"/>
        <w:tabs>
          <w:tab w:val="left" w:leader="none" w:pos="851"/>
          <w:tab w:val="left" w:leader="none" w:pos="1276"/>
        </w:tabs>
        <w:spacing w:after="0"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-у</w:t>
      </w:r>
      <w:r>
        <w:rPr>
          <w:sz w:val="28"/>
          <w:szCs w:val="28"/>
        </w:rPr>
        <w:t xml:space="preserve">величить количество дежурного персонала в период проведения новогодних праздничных мероприятий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8"/>
        <w:pBdr/>
        <w:shd w:val="clear" w:color="auto" w:fill="auto"/>
        <w:tabs>
          <w:tab w:val="left" w:leader="none" w:pos="851"/>
          <w:tab w:val="left" w:leader="none" w:pos="1276"/>
        </w:tabs>
        <w:spacing w:after="0"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-организовать обучение должностных лиц, ответственных за проведение новогодних праздничных мероприятий, по программам пожарно-технического минимума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8"/>
        <w:numPr>
          <w:ilvl w:val="0"/>
          <w:numId w:val="1"/>
        </w:numPr>
        <w:pBdr/>
        <w:shd w:val="clear" w:color="auto" w:fill="auto"/>
        <w:tabs>
          <w:tab w:val="left" w:leader="none" w:pos="851"/>
          <w:tab w:val="left" w:leader="none" w:pos="1276"/>
        </w:tabs>
        <w:spacing w:after="0" w:before="0" w:line="322" w:lineRule="exact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гт. Камские Поляны и главам</w:t>
      </w:r>
      <w:r>
        <w:rPr>
          <w:sz w:val="28"/>
          <w:szCs w:val="28"/>
        </w:rPr>
        <w:t xml:space="preserve"> сельских поселений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Нижнекамского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осуществить комплекс мероприятий по организации круглосуточного дежурства членов добровольной </w:t>
      </w:r>
      <w:r>
        <w:rPr>
          <w:sz w:val="28"/>
          <w:szCs w:val="28"/>
        </w:rPr>
        <w:t xml:space="preserve">пожарной</w:t>
      </w:r>
      <w:r>
        <w:rPr>
          <w:sz w:val="28"/>
          <w:szCs w:val="28"/>
        </w:rPr>
        <w:t xml:space="preserve"> охраны</w:t>
      </w:r>
      <w:r>
        <w:rPr>
          <w:sz w:val="28"/>
          <w:szCs w:val="28"/>
        </w:rPr>
        <w:t xml:space="preserve"> с пожарной и приспособленной к пожаротушению техникой.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условия для забора воды из источников наружного противопожарного водоснабжения, оборудовать водонапорные башни устройствами для заб</w:t>
      </w:r>
      <w:r>
        <w:rPr>
          <w:sz w:val="28"/>
          <w:szCs w:val="28"/>
        </w:rPr>
        <w:t xml:space="preserve">ора воды в зимнее время года и </w:t>
      </w:r>
      <w:r>
        <w:rPr>
          <w:sz w:val="28"/>
          <w:szCs w:val="28"/>
        </w:rPr>
        <w:t xml:space="preserve">естественные водоемы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незамерзающими прорубями, обеспечить очистку подъездов к водоисточникам от снега.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пгт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Камские Поляны и в каждом сельском поселении определить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специализированные площадки для применения</w:t>
      </w:r>
      <w:r>
        <w:rPr>
          <w:sz w:val="28"/>
          <w:szCs w:val="28"/>
        </w:rPr>
        <w:t xml:space="preserve"> и использования</w:t>
      </w:r>
      <w:r>
        <w:rPr>
          <w:sz w:val="28"/>
          <w:szCs w:val="28"/>
        </w:rPr>
        <w:t xml:space="preserve"> пиротехнических изделий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ровести </w:t>
      </w:r>
      <w:r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очистку от снега, выставить аншлаги и установить ограждение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осна</w:t>
      </w:r>
      <w:r>
        <w:rPr>
          <w:sz w:val="28"/>
          <w:szCs w:val="28"/>
        </w:rPr>
        <w:t xml:space="preserve">стить</w:t>
      </w:r>
      <w:r>
        <w:rPr>
          <w:sz w:val="28"/>
          <w:szCs w:val="28"/>
        </w:rPr>
        <w:t xml:space="preserve"> первичными средствами пожаротушения</w:t>
      </w:r>
      <w:r>
        <w:rPr>
          <w:sz w:val="28"/>
          <w:szCs w:val="28"/>
        </w:rPr>
        <w:t xml:space="preserve">, обеспечить контроль за их использованием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Проинформировать население о недопустимости парковки личного автотранспорта непосредственно у источников противопожарного водоснабжения, при необходимости организовать эвакуацию автотранспорта, затрудняющего подъезд к водоисточникам пожарным автомобилям.</w:t>
      </w:r>
      <w:r>
        <w:rPr>
          <w:sz w:val="28"/>
          <w:szCs w:val="28"/>
        </w:rPr>
      </w:r>
    </w:p>
    <w:p>
      <w:pPr>
        <w:pStyle w:val="708"/>
        <w:numPr>
          <w:ilvl w:val="0"/>
          <w:numId w:val="1"/>
        </w:numPr>
        <w:pBdr/>
        <w:shd w:val="clear" w:color="auto" w:fill="auto"/>
        <w:tabs>
          <w:tab w:val="left" w:leader="none" w:pos="851"/>
          <w:tab w:val="left" w:leader="none" w:pos="1276"/>
        </w:tabs>
        <w:spacing w:after="0" w:before="0" w:line="322" w:lineRule="exact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Рекомендовать начальнику отдела надзорной деятельности по Нижнекамскому муниципальному району Главного управления МЧС России по Республике Татарстан (</w:t>
      </w:r>
      <w:r>
        <w:rPr>
          <w:sz w:val="28"/>
          <w:szCs w:val="28"/>
        </w:rPr>
        <w:t xml:space="preserve">Насибуллин Р.Ф.</w:t>
      </w:r>
      <w:r>
        <w:rPr>
          <w:sz w:val="28"/>
          <w:szCs w:val="28"/>
        </w:rPr>
        <w:t xml:space="preserve">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8"/>
        <w:pBdr/>
        <w:shd w:val="clear" w:color="auto" w:fill="auto"/>
        <w:tabs>
          <w:tab w:val="left" w:leader="none" w:pos="851"/>
          <w:tab w:val="left" w:leader="none" w:pos="1276"/>
        </w:tabs>
        <w:spacing w:after="0"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взять на себя координацию по </w:t>
      </w:r>
      <w:r>
        <w:rPr>
          <w:sz w:val="28"/>
          <w:szCs w:val="28"/>
        </w:rPr>
        <w:t xml:space="preserve">созда</w:t>
      </w:r>
      <w:r>
        <w:rPr>
          <w:sz w:val="28"/>
          <w:szCs w:val="28"/>
        </w:rPr>
        <w:t xml:space="preserve">нию</w:t>
      </w:r>
      <w:r>
        <w:rPr>
          <w:sz w:val="28"/>
          <w:szCs w:val="28"/>
        </w:rPr>
        <w:t xml:space="preserve"> профилактически</w:t>
      </w:r>
      <w:r>
        <w:rPr>
          <w:sz w:val="28"/>
          <w:szCs w:val="28"/>
        </w:rPr>
        <w:t xml:space="preserve">х групп</w:t>
      </w:r>
      <w:r>
        <w:rPr>
          <w:sz w:val="28"/>
          <w:szCs w:val="28"/>
        </w:rPr>
        <w:t xml:space="preserve"> из числа сотрудников государственной противопожарной службы, членов добровольной пожарной охраны, сотрудников полиции, жилищно-коммунального хозяйства, работников управления социальной защиты населения и в период с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 января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организовать их силами проведение профилактических бесед с гражданами в жилых домах, при этом особое внимание обратить </w:t>
      </w:r>
      <w:r>
        <w:rPr>
          <w:sz w:val="28"/>
          <w:szCs w:val="28"/>
        </w:rPr>
        <w:t xml:space="preserve">на места проживания многодетных семей, одиноких преста</w:t>
      </w:r>
      <w:r>
        <w:rPr>
          <w:sz w:val="28"/>
          <w:szCs w:val="28"/>
        </w:rPr>
        <w:t xml:space="preserve">релых и неблагополучных граждан;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1"/>
        <w:pBdr/>
        <w:tabs>
          <w:tab w:val="left" w:leader="none" w:pos="1134"/>
          <w:tab w:val="left" w:leader="none" w:pos="1276"/>
        </w:tabs>
        <w:spacing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-совме</w:t>
      </w:r>
      <w:r>
        <w:rPr>
          <w:rFonts w:ascii="Times New Roman" w:hAnsi="Times New Roman" w:cs="Times New Roman"/>
          <w:sz w:val="28"/>
          <w:szCs w:val="28"/>
        </w:rPr>
        <w:t xml:space="preserve">стно с </w:t>
      </w:r>
      <w:r>
        <w:rPr>
          <w:rFonts w:ascii="Times New Roman" w:hAnsi="Times New Roman" w:cs="Times New Roman"/>
          <w:sz w:val="28"/>
          <w:szCs w:val="28"/>
        </w:rPr>
        <w:t xml:space="preserve">отделом</w:t>
      </w:r>
      <w:r>
        <w:rPr>
          <w:rFonts w:ascii="Times New Roman" w:hAnsi="Times New Roman" w:cs="Times New Roman"/>
          <w:sz w:val="28"/>
          <w:szCs w:val="28"/>
        </w:rPr>
        <w:t xml:space="preserve"> по связям с общественностью и СМИ Совета НМР РТ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Комарова-Енькова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.С.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работу по информированию населения о созданн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sz w:val="28"/>
          <w:szCs w:val="28"/>
        </w:rPr>
        <w:t xml:space="preserve">ах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пиротехнических средств (изделий) и проведение разъяснительной работы среди населения, юридических лиц, в том числе 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розничную торговлю пиротехническими изделиями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части соблюдения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требований пожарной безопасности при распространении и использовании пиротехнических изделий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о недопустимости парковки личного автотранспорта непосредственно у ис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очников противопожарного водоснабжения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701"/>
        <w:pBdr/>
        <w:tabs>
          <w:tab w:val="left" w:leader="none" w:pos="1134"/>
          <w:tab w:val="left" w:leader="none" w:pos="1276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обеспечить распространение памяток по использования пиротехнических изделий ср</w:t>
      </w:r>
      <w:r>
        <w:rPr>
          <w:rFonts w:ascii="Times New Roman" w:hAnsi="Times New Roman" w:cs="Times New Roman"/>
          <w:bCs/>
          <w:sz w:val="28"/>
          <w:szCs w:val="28"/>
        </w:rPr>
        <w:t xml:space="preserve">еди населения города и района;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pBdr/>
        <w:tabs>
          <w:tab w:val="left" w:leader="none" w:pos="1134"/>
          <w:tab w:val="left" w:leader="none" w:pos="1276"/>
        </w:tabs>
        <w:spacing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-организовать размещение на информационных стендах инструкций и памяток по применению гражданами бытовых пиротехнических изделий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8"/>
        <w:numPr>
          <w:ilvl w:val="0"/>
          <w:numId w:val="1"/>
        </w:numPr>
        <w:pBdr/>
        <w:shd w:val="clear" w:color="auto" w:fill="auto"/>
        <w:tabs>
          <w:tab w:val="left" w:leader="none" w:pos="851"/>
          <w:tab w:val="left" w:leader="none" w:pos="1134"/>
          <w:tab w:val="left" w:leader="none" w:pos="1276"/>
        </w:tabs>
        <w:spacing w:after="0"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комисси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по проверке условий хранения и реализации пиротехнических изделий в составе: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8"/>
        <w:pBdr/>
        <w:shd w:val="clear" w:color="auto" w:fill="auto"/>
        <w:tabs>
          <w:tab w:val="left" w:leader="none" w:pos="851"/>
          <w:tab w:val="left" w:leader="none" w:pos="1276"/>
        </w:tabs>
        <w:spacing w:after="0"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Насибуллин Р.Ф. – начальник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тдела надзорной деятельности по </w:t>
      </w:r>
      <w:r>
        <w:rPr>
          <w:sz w:val="28"/>
          <w:szCs w:val="28"/>
        </w:rPr>
        <w:t xml:space="preserve">Нижнекамскому району Главного управления МЧС</w:t>
      </w:r>
      <w:r>
        <w:rPr>
          <w:sz w:val="28"/>
          <w:szCs w:val="28"/>
        </w:rPr>
        <w:t xml:space="preserve"> России по </w:t>
      </w:r>
      <w:r>
        <w:rPr>
          <w:sz w:val="28"/>
          <w:szCs w:val="28"/>
        </w:rPr>
        <w:t xml:space="preserve">Республике Татарстан;</w:t>
      </w:r>
      <w:r>
        <w:rPr>
          <w:sz w:val="28"/>
          <w:szCs w:val="28"/>
        </w:rPr>
      </w:r>
    </w:p>
    <w:p>
      <w:pPr>
        <w:pStyle w:val="708"/>
        <w:pBdr/>
        <w:shd w:val="clear" w:color="auto" w:fill="auto"/>
        <w:tabs>
          <w:tab w:val="left" w:leader="none" w:pos="851"/>
          <w:tab w:val="left" w:leader="none" w:pos="1276"/>
        </w:tabs>
        <w:spacing w:after="0"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Шадрин Р.А.</w:t>
      </w:r>
      <w:r>
        <w:rPr>
          <w:sz w:val="28"/>
          <w:szCs w:val="28"/>
        </w:rPr>
        <w:t xml:space="preserve"> – начальник </w:t>
      </w:r>
      <w:r>
        <w:rPr>
          <w:sz w:val="28"/>
          <w:szCs w:val="28"/>
        </w:rPr>
        <w:t xml:space="preserve">ОВО по </w:t>
      </w:r>
      <w:r>
        <w:rPr>
          <w:sz w:val="28"/>
          <w:szCs w:val="28"/>
        </w:rPr>
        <w:t xml:space="preserve">Нижнекамско</w:t>
      </w:r>
      <w:r>
        <w:rPr>
          <w:sz w:val="28"/>
          <w:szCs w:val="28"/>
        </w:rPr>
        <w:t xml:space="preserve">му району</w:t>
      </w:r>
      <w:r>
        <w:rPr>
          <w:sz w:val="28"/>
          <w:szCs w:val="28"/>
        </w:rPr>
        <w:t xml:space="preserve">-филиал ФГКУ «УВО ВНГ России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Республик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08"/>
        <w:pBdr/>
        <w:shd w:val="clear" w:color="auto" w:fill="auto"/>
        <w:tabs>
          <w:tab w:val="left" w:leader="none" w:pos="851"/>
          <w:tab w:val="left" w:leader="none" w:pos="1276"/>
        </w:tabs>
        <w:spacing w:after="0"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Сираев И.Р.</w:t>
      </w:r>
      <w:r>
        <w:rPr>
          <w:sz w:val="28"/>
          <w:szCs w:val="28"/>
        </w:rPr>
        <w:t xml:space="preserve"> – начальник </w:t>
      </w:r>
      <w:r>
        <w:rPr>
          <w:sz w:val="28"/>
          <w:szCs w:val="28"/>
        </w:rPr>
        <w:t xml:space="preserve">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поддержке и развитию предпринимательства </w:t>
      </w:r>
      <w:r>
        <w:rPr>
          <w:sz w:val="28"/>
          <w:szCs w:val="28"/>
        </w:rPr>
        <w:t xml:space="preserve">Исполнит</w:t>
      </w:r>
      <w:r>
        <w:rPr>
          <w:sz w:val="28"/>
          <w:szCs w:val="28"/>
        </w:rPr>
        <w:t xml:space="preserve">ельного комитета </w:t>
      </w:r>
      <w:r>
        <w:rPr>
          <w:sz w:val="28"/>
          <w:szCs w:val="28"/>
        </w:rPr>
        <w:t xml:space="preserve">Нижнекамского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8"/>
        <w:pBdr/>
        <w:shd w:val="clear" w:color="auto" w:fill="auto"/>
        <w:tabs>
          <w:tab w:val="left" w:leader="none" w:pos="851"/>
          <w:tab w:val="left" w:leader="none" w:pos="1276"/>
        </w:tabs>
        <w:spacing w:after="0"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Шипилов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В.Н.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начальник отдела развития и координации внутреннего рынка </w:t>
      </w:r>
      <w:r>
        <w:rPr>
          <w:sz w:val="28"/>
          <w:szCs w:val="28"/>
        </w:rPr>
        <w:t xml:space="preserve">Нижнекамского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ерриториального о</w:t>
      </w:r>
      <w:r>
        <w:rPr>
          <w:sz w:val="28"/>
          <w:szCs w:val="28"/>
        </w:rPr>
        <w:t xml:space="preserve">ргана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 алкогольной инспекции Республики</w:t>
      </w:r>
      <w:r>
        <w:rPr>
          <w:sz w:val="28"/>
          <w:szCs w:val="28"/>
        </w:rPr>
        <w:t xml:space="preserve">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1"/>
        <w:pBdr/>
        <w:tabs>
          <w:tab w:val="left" w:leader="none" w:pos="1276"/>
        </w:tabs>
        <w: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омиссии организовать </w:t>
      </w:r>
      <w:r>
        <w:rPr>
          <w:rFonts w:ascii="Times New Roman" w:hAnsi="Times New Roman" w:cs="Times New Roman"/>
          <w:sz w:val="28"/>
          <w:szCs w:val="28"/>
        </w:rPr>
        <w:t xml:space="preserve">проверки условий хранения и реализации пиротехнических изделий 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№ 1052 от 22.12.2009 «Об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требований пожарной безопасности при распространении и использовании пиротехнических изделий».</w:t>
      </w:r>
      <w:r>
        <w:rPr>
          <w:rFonts w:ascii="Times New Roman" w:hAnsi="Times New Roman" w:cs="Times New Roman"/>
          <w:sz w:val="28"/>
          <w:szCs w:val="28"/>
        </w:rPr>
        <w:t xml:space="preserve"> Провести рейды по выявлению и пресечению реализации пиротехнических изделий в непредназначенных для этого местах торговли, а также по реализации продукции, не имеющей соответствующих сертификатов (деклараций о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соответствии), установленных законода</w:t>
      </w:r>
      <w:r>
        <w:rPr>
          <w:rFonts w:ascii="Times New Roman" w:hAnsi="Times New Roman" w:cs="Times New Roman"/>
          <w:sz w:val="28"/>
          <w:szCs w:val="28"/>
        </w:rPr>
        <w:t xml:space="preserve">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pBdr/>
        <w:tabs>
          <w:tab w:val="left" w:leader="none" w:pos="1276"/>
        </w:tabs>
        <w: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ачальник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по поддержке и развитию предпринимательства Исполнительного комитета Нижнекамского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Сираев И.Р.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начальнику отдела надзорной деятельности по Нижнекамскому муниципальному району Главного управления МЧС России по Республике Татарстан (Насибуллин Р.Ф.)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со</w:t>
      </w:r>
      <w:r>
        <w:rPr>
          <w:rFonts w:ascii="Times New Roman" w:hAnsi="Times New Roman" w:cs="Times New Roman"/>
          <w:sz w:val="28"/>
          <w:szCs w:val="28"/>
        </w:rPr>
        <w:t xml:space="preserve">гласованию)</w:t>
      </w:r>
      <w:r>
        <w:rPr>
          <w:rFonts w:ascii="Times New Roman" w:hAnsi="Times New Roman" w:cs="Times New Roman"/>
          <w:sz w:val="28"/>
          <w:szCs w:val="28"/>
        </w:rPr>
        <w:t xml:space="preserve"> совместно с ю</w:t>
      </w:r>
      <w:r>
        <w:rPr>
          <w:rFonts w:ascii="Times New Roman" w:hAnsi="Times New Roman" w:cs="Times New Roman"/>
          <w:sz w:val="28"/>
          <w:szCs w:val="28"/>
        </w:rPr>
        <w:t xml:space="preserve">ридическим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лицам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 индивидуальным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предпринимателям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 занимающим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ся хранением и реализацией пиротехнических изделий, обеспечить выполнение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22.12.2009 № 1052 «Об утверждении требований пожарной безопасности при распространении и использовании пиротехнических изделий» и</w:t>
      </w:r>
      <w:r>
        <w:rPr>
          <w:rFonts w:ascii="Times New Roman" w:hAnsi="Times New Roman" w:cs="Times New Roman"/>
          <w:sz w:val="28"/>
          <w:szCs w:val="28"/>
        </w:rPr>
        <w:t xml:space="preserve"> Решения комиссии Таможенного союза от 16.08.2011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770 «О принятии технического регламента Таможенного союза «О безопасности пиротехнических изделий»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ринять меры по недопущению продажи пиротехнических изделий и электрических гирля</w:t>
      </w:r>
      <w:r>
        <w:rPr>
          <w:rFonts w:ascii="Times New Roman" w:hAnsi="Times New Roman" w:cs="Times New Roman"/>
          <w:sz w:val="28"/>
          <w:szCs w:val="28"/>
        </w:rPr>
        <w:t xml:space="preserve">нд, не имеющих соответствующих сертификатов (деклараций о соответствии), установленных законодательством, а также новогодних украшений, искусственных елок, в технической документации на которые не указаны показатели их пожарной опасности и меры пожарной бе</w:t>
      </w:r>
      <w:r>
        <w:rPr>
          <w:rFonts w:ascii="Times New Roman" w:hAnsi="Times New Roman" w:cs="Times New Roman"/>
          <w:sz w:val="28"/>
          <w:szCs w:val="28"/>
        </w:rPr>
        <w:t xml:space="preserve">зопасности при обращении с ними.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ридическим лицам и индивидуальным предпринимателям, эксплуатирующим автозаправочные станции и комплексы, исключить использование электрических гирлянд и другой иллюминации, не имеющих требуемого уровня взрывозащиты, при украшении территорий и</w:t>
      </w:r>
      <w:r>
        <w:rPr>
          <w:rFonts w:ascii="Times New Roman" w:hAnsi="Times New Roman" w:cs="Times New Roman"/>
          <w:sz w:val="28"/>
          <w:szCs w:val="28"/>
        </w:rPr>
        <w:t xml:space="preserve"> зданий вышеуказанных объектов.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pBdr/>
        <w:shd w:val="clear" w:color="auto" w:fill="auto"/>
        <w:tabs>
          <w:tab w:val="left" w:leader="none" w:pos="709"/>
          <w:tab w:val="left" w:leader="none" w:pos="851"/>
          <w:tab w:val="left" w:leader="none" w:pos="1276"/>
        </w:tabs>
        <w:spacing w:after="0"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распоряжения </w:t>
      </w:r>
      <w:r>
        <w:rPr>
          <w:sz w:val="28"/>
          <w:szCs w:val="28"/>
        </w:rPr>
        <w:t xml:space="preserve">оставляю за собой.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9"/>
        <w:pBdr/>
        <w:spacing/>
        <w:ind w:right="325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9"/>
        <w:pBdr/>
        <w:spacing/>
        <w:ind w:right="325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1"/>
        <w:pBdr/>
        <w:tabs>
          <w:tab w:val="left" w:leader="none" w:pos="5670"/>
        </w:tabs>
        <w:spacing/>
        <w:ind w:right="42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редседател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sz w:val="28"/>
          <w:szCs w:val="28"/>
        </w:rPr>
        <w:t xml:space="preserve">уководител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</w:t>
      </w:r>
      <w:r>
        <w:rPr>
          <w:rFonts w:ascii="Times New Roman" w:hAnsi="Times New Roman" w:cs="Times New Roman"/>
          <w:b/>
          <w:sz w:val="28"/>
          <w:szCs w:val="28"/>
        </w:rPr>
        <w:t xml:space="preserve"> Исполнительного комитета Нижнекамского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1"/>
        <w:pBdr/>
        <w:spacing/>
        <w:ind w:right="-3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М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Латыпов</w:t>
      </w:r>
      <w:r>
        <w:rPr>
          <w:rFonts w:ascii="Times New Roman" w:hAnsi="Times New Roman" w:cs="Times New Roman"/>
          <w:sz w:val="28"/>
          <w:szCs w:val="28"/>
          <w:lang w:val="ru"/>
        </w:rPr>
      </w:r>
      <w:r>
        <w:rPr>
          <w:rFonts w:ascii="Times New Roman" w:hAnsi="Times New Roman" w:cs="Times New Roman"/>
          <w:sz w:val="28"/>
          <w:szCs w:val="28"/>
          <w:lang w:val="ru"/>
        </w:rPr>
      </w:r>
    </w:p>
    <w:p>
      <w:pPr>
        <w:pStyle w:val="701"/>
        <w:pBdr/>
        <w:tabs>
          <w:tab w:val="left" w:leader="none" w:pos="851"/>
          <w:tab w:val="left" w:leader="none" w:pos="993"/>
        </w:tabs>
        <w:spacing/>
        <w:ind w:left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</w:r>
      <w:r>
        <w:rPr>
          <w:rFonts w:ascii="Times New Roman" w:hAnsi="Times New Roman" w:cs="Times New Roman"/>
          <w:sz w:val="28"/>
          <w:szCs w:val="28"/>
          <w:lang w:val="ru"/>
        </w:rPr>
      </w:r>
    </w:p>
    <w:p>
      <w:pPr>
        <w:pStyle w:val="701"/>
        <w:pBdr/>
        <w:tabs>
          <w:tab w:val="left" w:leader="none" w:pos="851"/>
          <w:tab w:val="left" w:leader="none" w:pos="993"/>
        </w:tabs>
        <w:spacing/>
        <w:ind w:left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</w:r>
      <w:r>
        <w:rPr>
          <w:rFonts w:ascii="Times New Roman" w:hAnsi="Times New Roman" w:cs="Times New Roman"/>
          <w:sz w:val="28"/>
          <w:szCs w:val="28"/>
          <w:lang w:val="ru"/>
        </w:rPr>
      </w:r>
    </w:p>
    <w:p>
      <w:pPr>
        <w:pStyle w:val="701"/>
        <w:pBdr/>
        <w:tabs>
          <w:tab w:val="left" w:leader="none" w:pos="851"/>
          <w:tab w:val="left" w:leader="none" w:pos="993"/>
        </w:tabs>
        <w:spacing/>
        <w:ind w:left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</w:r>
      <w:r>
        <w:rPr>
          <w:rFonts w:ascii="Times New Roman" w:hAnsi="Times New Roman" w:cs="Times New Roman"/>
          <w:sz w:val="28"/>
          <w:szCs w:val="28"/>
          <w:lang w:val="ru"/>
        </w:rPr>
      </w:r>
    </w:p>
    <w:p>
      <w:pPr>
        <w:pStyle w:val="701"/>
        <w:pBdr/>
        <w:tabs>
          <w:tab w:val="left" w:leader="none" w:pos="851"/>
          <w:tab w:val="left" w:leader="none" w:pos="993"/>
        </w:tabs>
        <w:spacing/>
        <w:ind w:left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</w:r>
      <w:r>
        <w:rPr>
          <w:rFonts w:ascii="Times New Roman" w:hAnsi="Times New Roman" w:cs="Times New Roman"/>
          <w:sz w:val="28"/>
          <w:szCs w:val="28"/>
          <w:lang w:val="ru"/>
        </w:rPr>
      </w:r>
    </w:p>
    <w:p>
      <w:pPr>
        <w:pStyle w:val="701"/>
        <w:pBdr/>
        <w:tabs>
          <w:tab w:val="left" w:leader="none" w:pos="851"/>
          <w:tab w:val="left" w:leader="none" w:pos="993"/>
        </w:tabs>
        <w:spacing/>
        <w:ind w:left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</w:r>
      <w:r>
        <w:rPr>
          <w:rFonts w:ascii="Times New Roman" w:hAnsi="Times New Roman" w:cs="Times New Roman"/>
          <w:sz w:val="28"/>
          <w:szCs w:val="28"/>
          <w:lang w:val="ru"/>
        </w:rPr>
      </w:r>
    </w:p>
    <w:p>
      <w:pPr>
        <w:pStyle w:val="701"/>
        <w:pBdr/>
        <w:tabs>
          <w:tab w:val="left" w:leader="none" w:pos="851"/>
          <w:tab w:val="left" w:leader="none" w:pos="993"/>
        </w:tabs>
        <w:spacing/>
        <w:ind w:left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</w:r>
      <w:r>
        <w:rPr>
          <w:rFonts w:ascii="Times New Roman" w:hAnsi="Times New Roman" w:cs="Times New Roman"/>
          <w:sz w:val="28"/>
          <w:szCs w:val="28"/>
          <w:lang w:val="ru"/>
        </w:rPr>
      </w:r>
    </w:p>
    <w:p>
      <w:pPr>
        <w:pStyle w:val="701"/>
        <w:pBdr/>
        <w:tabs>
          <w:tab w:val="left" w:leader="none" w:pos="851"/>
          <w:tab w:val="left" w:leader="none" w:pos="993"/>
        </w:tabs>
        <w:spacing/>
        <w:ind w:left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</w:r>
      <w:r>
        <w:rPr>
          <w:rFonts w:ascii="Times New Roman" w:hAnsi="Times New Roman" w:cs="Times New Roman"/>
          <w:sz w:val="28"/>
          <w:szCs w:val="28"/>
          <w:lang w:val="ru"/>
        </w:rPr>
      </w:r>
    </w:p>
    <w:p>
      <w:pPr>
        <w:pStyle w:val="701"/>
        <w:pBdr/>
        <w:tabs>
          <w:tab w:val="left" w:leader="none" w:pos="851"/>
          <w:tab w:val="left" w:leader="none" w:pos="993"/>
        </w:tabs>
        <w:spacing/>
        <w:ind w:left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</w:r>
      <w:r>
        <w:rPr>
          <w:rFonts w:ascii="Times New Roman" w:hAnsi="Times New Roman" w:cs="Times New Roman"/>
          <w:sz w:val="28"/>
          <w:szCs w:val="28"/>
          <w:lang w:val="ru"/>
        </w:rPr>
      </w:r>
    </w:p>
    <w:p>
      <w:pPr>
        <w:pStyle w:val="701"/>
        <w:pBdr/>
        <w:tabs>
          <w:tab w:val="left" w:leader="none" w:pos="851"/>
          <w:tab w:val="left" w:leader="none" w:pos="993"/>
        </w:tabs>
        <w:spacing/>
        <w:ind w:left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</w:r>
      <w:r>
        <w:rPr>
          <w:rFonts w:ascii="Times New Roman" w:hAnsi="Times New Roman" w:cs="Times New Roman"/>
          <w:sz w:val="28"/>
          <w:szCs w:val="28"/>
          <w:lang w:val="ru"/>
        </w:rPr>
      </w:r>
    </w:p>
    <w:p>
      <w:pPr>
        <w:pStyle w:val="713"/>
        <w:pBdr/>
        <w:shd w:val="clear" w:color="auto" w:fill="auto"/>
        <w:spacing/>
        <w:ind w:right="-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hd w:val="clear" w:color="auto" w:fill="auto"/>
        <w:spacing/>
        <w:ind w:right="-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hd w:val="clear" w:color="auto" w:fill="auto"/>
        <w:spacing/>
        <w:ind w:right="-3" w:firstLine="427" w:left="5245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твержден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hd w:val="clear" w:color="auto" w:fill="auto"/>
        <w:spacing/>
        <w:ind w:left="4536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Комиссии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муниципального образования «Нижнекамский муниципальный район»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713"/>
        <w:pBdr/>
        <w:shd w:val="clear" w:color="auto" w:fill="auto"/>
        <w:spacing/>
        <w:ind w:right="-145" w:left="4536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713"/>
        <w:pBdr/>
        <w:shd w:val="clear" w:color="auto" w:fill="auto"/>
        <w:spacing/>
        <w:ind w:right="-145" w:left="4536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713"/>
        <w:pBdr/>
        <w:shd w:val="clear" w:color="auto" w:fill="auto"/>
        <w:spacing/>
        <w:ind w:right="-145" w:left="4536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«____» _________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_202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№_____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709"/>
        <w:pBdr/>
        <w:spacing/>
        <w:ind w:right="3257"/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</w:r>
      <w:r>
        <w:rPr>
          <w:sz w:val="28"/>
          <w:szCs w:val="28"/>
          <w:lang w:val="ru"/>
        </w:rPr>
      </w:r>
    </w:p>
    <w:p>
      <w:pPr>
        <w:pStyle w:val="709"/>
        <w:pBdr/>
        <w:spacing/>
        <w:ind w:right="3257"/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</w:r>
      <w:r>
        <w:rPr>
          <w:sz w:val="28"/>
          <w:szCs w:val="28"/>
          <w:lang w:val="ru"/>
        </w:rPr>
      </w:r>
    </w:p>
    <w:p>
      <w:pPr>
        <w:pStyle w:val="713"/>
        <w:pBdr/>
        <w:shd w:val="clear" w:color="auto" w:fill="auto"/>
        <w:spacing/>
        <w:ind w:right="-145" w:left="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pBdr/>
        <w:shd w:val="clear" w:color="auto" w:fill="auto"/>
        <w:spacing/>
        <w:ind w:left="24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30- и 500-метров зонах от </w:t>
      </w:r>
      <w:r>
        <w:rPr>
          <w:rFonts w:ascii="Times New Roman" w:hAnsi="Times New Roman" w:cs="Times New Roman"/>
          <w:sz w:val="28"/>
          <w:szCs w:val="28"/>
        </w:rPr>
        <w:t xml:space="preserve">которых запрещено использование пиротехнических изделий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период действия особого противопожарного режима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hd w:val="clear" w:color="auto" w:fill="auto"/>
        <w:spacing/>
        <w:ind w:right="-145" w:left="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. Объек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ы промышленности: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8"/>
        </w:numPr>
        <w:pBdr/>
        <w:spacing/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АО «Нижнекамс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шина»;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8"/>
        </w:numPr>
        <w:pBdr/>
        <w:spacing/>
        <w:ind w:right="-108"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 «НК Хлебоко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бинат»;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8"/>
        </w:numPr>
        <w:pBdr/>
        <w:spacing/>
        <w:ind w:right="-108"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 «ТАИФ-НК»;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8"/>
        </w:numPr>
        <w:pBdr/>
        <w:spacing/>
        <w:ind w:right="-108"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АО «Нижнекамс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нефтехим»;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8"/>
        </w:numPr>
        <w:pBdr/>
        <w:spacing/>
        <w:ind w:right="-108"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О «Нижнекамский молочный комбинат»;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8"/>
        </w:numPr>
        <w:pBdr/>
        <w:spacing/>
        <w:ind w:right="-108"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 «ТАНЕКО»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pBdr/>
        <w:spacing/>
        <w:ind w:right="-108"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. Объекты транспортной инфраст</w:t>
      </w:r>
      <w:r>
        <w:rPr>
          <w:rFonts w:ascii="Times New Roman" w:hAnsi="Times New Roman" w:cs="Times New Roman"/>
          <w:sz w:val="28"/>
          <w:szCs w:val="28"/>
        </w:rPr>
        <w:t xml:space="preserve">руктуры: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17"/>
        </w:numPr>
        <w:pBdr/>
        <w:spacing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«Нижнекамское пассажирское</w:t>
      </w:r>
      <w:r>
        <w:rPr>
          <w:rFonts w:ascii="Times New Roman" w:hAnsi="Times New Roman" w:cs="Times New Roman"/>
          <w:sz w:val="28"/>
          <w:szCs w:val="28"/>
        </w:rPr>
        <w:t xml:space="preserve"> автотранспортное предприятие»;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17"/>
        </w:numPr>
        <w:pBdr/>
        <w:spacing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 «Нижнекамское пассажирское а</w:t>
      </w:r>
      <w:r>
        <w:rPr>
          <w:rFonts w:ascii="Times New Roman" w:hAnsi="Times New Roman" w:cs="Times New Roman"/>
          <w:sz w:val="28"/>
          <w:szCs w:val="28"/>
        </w:rPr>
        <w:t xml:space="preserve">втотранспортное предприятие-1»;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17"/>
        </w:numPr>
        <w:pBdr/>
        <w:spacing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МУП «Горэл</w:t>
      </w:r>
      <w:r>
        <w:rPr>
          <w:rFonts w:ascii="Times New Roman" w:hAnsi="Times New Roman" w:cs="Times New Roman"/>
          <w:sz w:val="28"/>
          <w:szCs w:val="28"/>
        </w:rPr>
        <w:t xml:space="preserve">ектротранспорт» г. Нижнекамска;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17"/>
        </w:numPr>
        <w:pBdr/>
        <w:spacing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«ПАП Транспорт-Экспресс»;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pBdr/>
        <w:tabs>
          <w:tab w:val="left" w:leader="none" w:pos="567"/>
        </w:tabs>
        <w:spacing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pBdr/>
        <w:spacing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</w:rPr>
        <w:t xml:space="preserve">. Объекты топливно-энергетического комплекса: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10"/>
        </w:numPr>
        <w:pBdr/>
        <w:spacing/>
        <w:ind w:firstLine="284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«Нижнекамская ТЭЦ»;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10"/>
        </w:numPr>
        <w:pBdr/>
        <w:spacing/>
        <w:ind w:right="-108"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АО» ТГК-16» Нижнекамская ТЭЦ </w:t>
      </w:r>
      <w:r>
        <w:rPr>
          <w:rFonts w:ascii="Times New Roman" w:hAnsi="Times New Roman" w:cs="Times New Roman"/>
          <w:sz w:val="28"/>
          <w:szCs w:val="28"/>
        </w:rPr>
        <w:t xml:space="preserve">(ПТК-1);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10"/>
        </w:numPr>
        <w:pBdr/>
        <w:spacing/>
        <w:ind w:right="-108"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АО «Сетевая компания»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Нижнекамские электрические сети»;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10"/>
        </w:numPr>
        <w:pBdr/>
        <w:spacing/>
        <w:ind w:right="-108"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ЭПУ «</w:t>
      </w:r>
      <w:r>
        <w:rPr>
          <w:rFonts w:ascii="Times New Roman" w:hAnsi="Times New Roman" w:cs="Times New Roman"/>
          <w:sz w:val="28"/>
          <w:szCs w:val="28"/>
        </w:rPr>
        <w:t xml:space="preserve">Нижнекамскгаз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Газпром транс</w:t>
      </w:r>
      <w:r>
        <w:rPr>
          <w:rFonts w:ascii="Times New Roman" w:hAnsi="Times New Roman" w:cs="Times New Roman"/>
          <w:sz w:val="28"/>
          <w:szCs w:val="28"/>
        </w:rPr>
        <w:t xml:space="preserve">газ</w:t>
      </w:r>
      <w:r>
        <w:rPr>
          <w:rFonts w:ascii="Times New Roman" w:hAnsi="Times New Roman" w:cs="Times New Roman"/>
          <w:sz w:val="28"/>
          <w:szCs w:val="28"/>
        </w:rPr>
        <w:t xml:space="preserve"> Казань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10"/>
        </w:numPr>
        <w:pBdr/>
        <w:spacing/>
        <w:ind w:right="-108"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</w:t>
      </w:r>
      <w:r>
        <w:rPr>
          <w:rFonts w:ascii="Times New Roman" w:hAnsi="Times New Roman" w:cs="Times New Roman"/>
          <w:sz w:val="28"/>
          <w:szCs w:val="28"/>
        </w:rPr>
        <w:t xml:space="preserve">АО «</w:t>
      </w:r>
      <w:r>
        <w:rPr>
          <w:rFonts w:ascii="Times New Roman" w:hAnsi="Times New Roman" w:cs="Times New Roman"/>
          <w:sz w:val="28"/>
          <w:szCs w:val="28"/>
        </w:rPr>
        <w:t xml:space="preserve">Татэнерго</w:t>
      </w:r>
      <w:r>
        <w:rPr>
          <w:rFonts w:ascii="Times New Roman" w:hAnsi="Times New Roman" w:cs="Times New Roman"/>
          <w:sz w:val="28"/>
          <w:szCs w:val="28"/>
        </w:rPr>
        <w:t xml:space="preserve">» - «Нижнекамские тепловые сети»;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10"/>
        </w:numPr>
        <w:pBdr/>
        <w:spacing/>
        <w:ind w:right="-108"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 «Водопроводно-канализационное и энергетическое хозяйство».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pBdr/>
        <w:spacing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sz w:val="28"/>
          <w:szCs w:val="28"/>
        </w:rPr>
        <w:t xml:space="preserve">. Линейные объекты топл</w:t>
      </w:r>
      <w:r>
        <w:rPr>
          <w:rFonts w:ascii="Times New Roman" w:hAnsi="Times New Roman" w:cs="Times New Roman"/>
          <w:sz w:val="28"/>
          <w:szCs w:val="28"/>
        </w:rPr>
        <w:t xml:space="preserve">ивно-энергетического комплекса: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18"/>
        </w:numPr>
        <w:pBdr/>
        <w:spacing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Нижнекамские горэлектросети;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18"/>
        </w:numPr>
        <w:pBdr/>
        <w:spacing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Нижнекамские районные электросети.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Объекты ж</w:t>
      </w:r>
      <w:r>
        <w:rPr>
          <w:rFonts w:ascii="Times New Roman" w:hAnsi="Times New Roman" w:cs="Times New Roman"/>
          <w:sz w:val="28"/>
          <w:szCs w:val="28"/>
        </w:rPr>
        <w:t xml:space="preserve">илищно-коммунального хозяйства: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20"/>
        </w:numPr>
        <w:pBdr/>
        <w:spacing/>
        <w:ind w:hanging="425"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У «Департамент строительства, жили</w:t>
      </w:r>
      <w:r>
        <w:rPr>
          <w:rFonts w:ascii="Times New Roman" w:hAnsi="Times New Roman" w:cs="Times New Roman"/>
          <w:sz w:val="28"/>
          <w:szCs w:val="28"/>
        </w:rPr>
        <w:t xml:space="preserve">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и благоустройства г.Нижнекамска».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pBdr/>
        <w:spacing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VI</w:t>
      </w:r>
      <w:r>
        <w:rPr>
          <w:rFonts w:ascii="Times New Roman" w:hAnsi="Times New Roman" w:cs="Times New Roman"/>
          <w:sz w:val="28"/>
          <w:szCs w:val="28"/>
        </w:rPr>
        <w:t xml:space="preserve">. Объекты сельского хозяйства: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19"/>
        </w:num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«Орсис-Агро»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19"/>
        </w:num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</w:t>
      </w:r>
      <w:r>
        <w:rPr>
          <w:rFonts w:ascii="Times New Roman" w:hAnsi="Times New Roman" w:cs="Times New Roman"/>
          <w:sz w:val="28"/>
          <w:szCs w:val="28"/>
        </w:rPr>
        <w:t xml:space="preserve">Агромолл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19"/>
        </w:num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</w:t>
      </w:r>
      <w:r>
        <w:rPr>
          <w:rFonts w:ascii="Times New Roman" w:hAnsi="Times New Roman" w:cs="Times New Roman"/>
          <w:sz w:val="28"/>
          <w:szCs w:val="28"/>
        </w:rPr>
        <w:t xml:space="preserve">Агро</w:t>
      </w:r>
      <w:r>
        <w:rPr>
          <w:rFonts w:ascii="Times New Roman" w:hAnsi="Times New Roman" w:cs="Times New Roman"/>
          <w:sz w:val="28"/>
          <w:szCs w:val="28"/>
        </w:rPr>
        <w:t xml:space="preserve">фирма «Кармалы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19"/>
        </w:num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Прикамский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numPr>
          <w:ilvl w:val="0"/>
          <w:numId w:val="19"/>
        </w:num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«Союз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Агро».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pBdr/>
        <w:spacing w:line="322" w:lineRule="exact"/>
        <w:ind w:righ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VII</w:t>
      </w:r>
      <w:r>
        <w:rPr>
          <w:rFonts w:ascii="Times New Roman" w:hAnsi="Times New Roman" w:cs="Times New Roman"/>
          <w:sz w:val="28"/>
          <w:szCs w:val="28"/>
        </w:rPr>
        <w:t xml:space="preserve">. Объекты с массовым пребыванием людей (на которых может одновременно нах</w:t>
      </w:r>
      <w:r>
        <w:rPr>
          <w:rFonts w:ascii="Times New Roman" w:hAnsi="Times New Roman" w:cs="Times New Roman"/>
          <w:sz w:val="28"/>
          <w:szCs w:val="28"/>
        </w:rPr>
        <w:t xml:space="preserve">одиться 50 и более человек).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continuous"/>
      <w:pgSz w:h="16837" w:orient="portrait" w:w="11905"/>
      <w:pgMar w:top="993" w:right="706" w:bottom="1276" w:left="1276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Sylfaen">
    <w:panose1 w:val="010A0502050306030303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  <w:lang w:val="ru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  <w:lang w:val="ru"/>
      </w:rPr>
      <w:start w:val="8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"/>
      <w:numFmt w:val="decimal"/>
      <w:pPr>
        <w:pBdr/>
        <w:spacing/>
        <w:ind w:hanging="360" w:left="1069"/>
      </w:pPr>
      <w:rPr/>
      <w:start w:val="3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75" w:left="1084"/>
      </w:pPr>
      <w:rPr>
        <w:color w:val="000000"/>
      </w:rPr>
      <w:start w:val="1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644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color w:val="000000"/>
      </w:rPr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8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644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b w:val="0"/>
        <w:sz w:val="26"/>
        <w:szCs w:val="26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 w:val="0"/>
        <w:i w:val="0"/>
        <w:sz w:val="24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25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10"/>
  </w:num>
  <w:num w:numId="2">
    <w:abstractNumId w:val="20"/>
  </w:num>
  <w:num w:numId="3">
    <w:abstractNumId w:val="0"/>
  </w:num>
  <w:num w:numId="4">
    <w:abstractNumId w:val="12"/>
  </w:num>
  <w:num w:numId="5">
    <w:abstractNumId w:val="11"/>
  </w:num>
  <w:num w:numId="6">
    <w:abstractNumId w:val="4"/>
  </w:num>
  <w:num w:numId="7">
    <w:abstractNumId w:val="2"/>
  </w:num>
  <w:num w:numId="8">
    <w:abstractNumId w:val="14"/>
  </w:num>
  <w:num w:numId="9">
    <w:abstractNumId w:val="18"/>
  </w:num>
  <w:num w:numId="10">
    <w:abstractNumId w:val="17"/>
  </w:num>
  <w:num w:numId="11">
    <w:abstractNumId w:val="19"/>
  </w:num>
  <w:num w:numId="12">
    <w:abstractNumId w:val="15"/>
  </w:num>
  <w:num w:numId="13">
    <w:abstractNumId w:val="9"/>
  </w:num>
  <w:num w:numId="14">
    <w:abstractNumId w:val="8"/>
  </w:num>
  <w:num w:numId="15">
    <w:abstractNumId w:val="1"/>
  </w:num>
  <w:num w:numId="16">
    <w:abstractNumId w:val="16"/>
  </w:num>
  <w:num w:numId="17">
    <w:abstractNumId w:val="5"/>
  </w:num>
  <w:num w:numId="18">
    <w:abstractNumId w:val="3"/>
  </w:num>
  <w:num w:numId="19">
    <w:abstractNumId w:val="13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01"/>
    <w:next w:val="70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01"/>
    <w:next w:val="70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01"/>
    <w:next w:val="70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01"/>
    <w:next w:val="70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01"/>
    <w:next w:val="70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01"/>
    <w:next w:val="70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01"/>
    <w:next w:val="70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1"/>
    <w:next w:val="70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1"/>
    <w:next w:val="70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01"/>
    <w:next w:val="70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01"/>
    <w:next w:val="70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01"/>
    <w:next w:val="70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01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01"/>
    <w:next w:val="70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0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01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701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701"/>
    <w:next w:val="70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0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0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01"/>
    <w:next w:val="701"/>
    <w:uiPriority w:val="39"/>
    <w:unhideWhenUsed/>
    <w:pPr>
      <w:pBdr/>
      <w:spacing w:after="100"/>
      <w:ind/>
    </w:pPr>
  </w:style>
  <w:style w:type="paragraph" w:styleId="189">
    <w:name w:val="toc 2"/>
    <w:basedOn w:val="701"/>
    <w:next w:val="701"/>
    <w:uiPriority w:val="39"/>
    <w:unhideWhenUsed/>
    <w:pPr>
      <w:pBdr/>
      <w:spacing w:after="100"/>
      <w:ind w:left="220"/>
    </w:pPr>
  </w:style>
  <w:style w:type="paragraph" w:styleId="190">
    <w:name w:val="toc 3"/>
    <w:basedOn w:val="701"/>
    <w:next w:val="701"/>
    <w:uiPriority w:val="39"/>
    <w:unhideWhenUsed/>
    <w:pPr>
      <w:pBdr/>
      <w:spacing w:after="100"/>
      <w:ind w:left="440"/>
    </w:pPr>
  </w:style>
  <w:style w:type="paragraph" w:styleId="191">
    <w:name w:val="toc 4"/>
    <w:basedOn w:val="701"/>
    <w:next w:val="701"/>
    <w:uiPriority w:val="39"/>
    <w:unhideWhenUsed/>
    <w:pPr>
      <w:pBdr/>
      <w:spacing w:after="100"/>
      <w:ind w:left="660"/>
    </w:pPr>
  </w:style>
  <w:style w:type="paragraph" w:styleId="192">
    <w:name w:val="toc 5"/>
    <w:basedOn w:val="701"/>
    <w:next w:val="701"/>
    <w:uiPriority w:val="39"/>
    <w:unhideWhenUsed/>
    <w:pPr>
      <w:pBdr/>
      <w:spacing w:after="100"/>
      <w:ind w:left="880"/>
    </w:pPr>
  </w:style>
  <w:style w:type="paragraph" w:styleId="193">
    <w:name w:val="toc 6"/>
    <w:basedOn w:val="701"/>
    <w:next w:val="701"/>
    <w:uiPriority w:val="39"/>
    <w:unhideWhenUsed/>
    <w:pPr>
      <w:pBdr/>
      <w:spacing w:after="100"/>
      <w:ind w:left="1100"/>
    </w:pPr>
  </w:style>
  <w:style w:type="paragraph" w:styleId="194">
    <w:name w:val="toc 7"/>
    <w:basedOn w:val="701"/>
    <w:next w:val="701"/>
    <w:uiPriority w:val="39"/>
    <w:unhideWhenUsed/>
    <w:pPr>
      <w:pBdr/>
      <w:spacing w:after="100"/>
      <w:ind w:left="1320"/>
    </w:pPr>
  </w:style>
  <w:style w:type="paragraph" w:styleId="195">
    <w:name w:val="toc 8"/>
    <w:basedOn w:val="701"/>
    <w:next w:val="701"/>
    <w:uiPriority w:val="39"/>
    <w:unhideWhenUsed/>
    <w:pPr>
      <w:pBdr/>
      <w:spacing w:after="100"/>
      <w:ind w:left="1540"/>
    </w:pPr>
  </w:style>
  <w:style w:type="paragraph" w:styleId="196">
    <w:name w:val="toc 9"/>
    <w:basedOn w:val="701"/>
    <w:next w:val="701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01"/>
    <w:next w:val="701"/>
    <w:uiPriority w:val="99"/>
    <w:unhideWhenUsed/>
    <w:pPr>
      <w:pBdr/>
      <w:spacing w:after="0" w:afterAutospacing="0"/>
      <w:ind/>
    </w:pPr>
  </w:style>
  <w:style w:type="paragraph" w:styleId="701" w:default="1">
    <w:name w:val="Normal"/>
    <w:next w:val="701"/>
    <w:link w:val="701"/>
    <w:qFormat/>
    <w:pPr>
      <w:pBdr/>
      <w:spacing/>
      <w:ind/>
    </w:pPr>
    <w:rPr>
      <w:rFonts w:ascii="Tahoma" w:hAnsi="Tahoma" w:eastAsia="Tahoma" w:cs="Tahoma"/>
      <w:color w:val="000000"/>
      <w:sz w:val="24"/>
      <w:szCs w:val="24"/>
      <w:lang w:val="ru-RU" w:eastAsia="ru-RU" w:bidi="ar-SA"/>
    </w:rPr>
  </w:style>
  <w:style w:type="character" w:styleId="702">
    <w:name w:val="Основной шрифт абзаца"/>
    <w:next w:val="702"/>
    <w:link w:val="701"/>
    <w:uiPriority w:val="1"/>
    <w:semiHidden/>
    <w:unhideWhenUsed/>
    <w:pPr>
      <w:pBdr/>
      <w:spacing/>
      <w:ind/>
    </w:pPr>
  </w:style>
  <w:style w:type="table" w:styleId="703">
    <w:name w:val="Обычная таблица"/>
    <w:next w:val="703"/>
    <w:link w:val="701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4">
    <w:name w:val="Нет списка"/>
    <w:next w:val="704"/>
    <w:link w:val="701"/>
    <w:uiPriority w:val="99"/>
    <w:semiHidden/>
    <w:unhideWhenUsed/>
    <w:pPr>
      <w:pBdr/>
      <w:spacing/>
      <w:ind/>
    </w:pPr>
  </w:style>
  <w:style w:type="character" w:styleId="705">
    <w:name w:val="Заголовок №1_"/>
    <w:next w:val="705"/>
    <w:link w:val="707"/>
    <w:pPr>
      <w:pBdr/>
      <w:spacing/>
      <w:ind/>
    </w:pPr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706">
    <w:name w:val="Основной текст_"/>
    <w:next w:val="706"/>
    <w:link w:val="708"/>
    <w:pPr>
      <w:pBdr/>
      <w:spacing/>
      <w:ind/>
    </w:pPr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styleId="707">
    <w:name w:val="Заголовок №1"/>
    <w:basedOn w:val="701"/>
    <w:next w:val="707"/>
    <w:link w:val="705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color w:val="000000"/>
      <w:sz w:val="27"/>
      <w:szCs w:val="27"/>
      <w:lang w:val="ru-RU" w:eastAsia="en-US"/>
    </w:rPr>
  </w:style>
  <w:style w:type="paragraph" w:styleId="708">
    <w:name w:val="Основной текст2"/>
    <w:basedOn w:val="701"/>
    <w:next w:val="708"/>
    <w:link w:val="706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color w:val="000000"/>
      <w:sz w:val="27"/>
      <w:szCs w:val="27"/>
      <w:lang w:val="ru-RU" w:eastAsia="en-US"/>
    </w:rPr>
  </w:style>
  <w:style w:type="paragraph" w:styleId="709">
    <w:name w:val="Основной текст"/>
    <w:basedOn w:val="701"/>
    <w:next w:val="709"/>
    <w:link w:val="710"/>
    <w:pPr>
      <w:pBdr/>
      <w:spacing/>
      <w:ind w:right="5668"/>
    </w:pPr>
    <w:rPr>
      <w:rFonts w:ascii="Times New Roman" w:hAnsi="Times New Roman" w:eastAsia="Times New Roman" w:cs="Times New Roman"/>
      <w:color w:val="000000"/>
      <w:szCs w:val="20"/>
      <w:lang w:val="ru-RU"/>
    </w:rPr>
  </w:style>
  <w:style w:type="character" w:styleId="710">
    <w:name w:val="Основной текст Знак"/>
    <w:next w:val="710"/>
    <w:link w:val="709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11">
    <w:name w:val="Абзац списка"/>
    <w:basedOn w:val="701"/>
    <w:next w:val="711"/>
    <w:link w:val="701"/>
    <w:uiPriority w:val="34"/>
    <w:qFormat/>
    <w:pPr>
      <w:pBdr/>
      <w:spacing/>
      <w:ind w:left="708"/>
    </w:pPr>
  </w:style>
  <w:style w:type="paragraph" w:styleId="712">
    <w:name w:val="Основной текст4"/>
    <w:basedOn w:val="701"/>
    <w:next w:val="712"/>
    <w:link w:val="701"/>
    <w:pPr>
      <w:pBdr/>
      <w:shd w:val="clear" w:color="auto" w:fill="ffffff"/>
      <w:spacing w:after="300" w:before="1560" w:line="322" w:lineRule="exact"/>
      <w:ind/>
      <w:jc w:val="both"/>
    </w:pPr>
    <w:rPr>
      <w:rFonts w:ascii="Times New Roman" w:hAnsi="Times New Roman" w:eastAsia="Times New Roman" w:cs="Times New Roman"/>
      <w:spacing w:val="3"/>
      <w:sz w:val="25"/>
      <w:szCs w:val="25"/>
      <w:lang w:val="ru"/>
    </w:rPr>
  </w:style>
  <w:style w:type="paragraph" w:styleId="713">
    <w:name w:val="Основной текст15"/>
    <w:basedOn w:val="701"/>
    <w:next w:val="713"/>
    <w:link w:val="701"/>
    <w:pPr>
      <w:pBdr/>
      <w:shd w:val="clear" w:color="auto" w:fill="ffffff"/>
      <w:spacing w:line="322" w:lineRule="exact"/>
      <w:ind/>
      <w:jc w:val="both"/>
    </w:pPr>
    <w:rPr>
      <w:rFonts w:ascii="Sylfaen" w:hAnsi="Sylfaen" w:eastAsia="Sylfaen" w:cs="Sylfaen"/>
      <w:spacing w:val="6"/>
      <w:lang w:val="ru"/>
    </w:rPr>
  </w:style>
  <w:style w:type="character" w:styleId="714">
    <w:name w:val="Основной текст + 13;5 pt;Малые прописные;Интервал 0 pt"/>
    <w:next w:val="714"/>
    <w:link w:val="701"/>
    <w:pPr>
      <w:pBdr/>
      <w:spacing/>
      <w:ind/>
    </w:pPr>
    <w:rPr>
      <w:rFonts w:ascii="Sylfaen" w:hAnsi="Sylfaen" w:eastAsia="Sylfaen" w:cs="Sylfaen"/>
      <w:smallCaps/>
      <w:spacing w:val="14"/>
      <w:sz w:val="26"/>
      <w:szCs w:val="26"/>
      <w:shd w:val="clear" w:color="auto" w:fill="ffffff"/>
    </w:rPr>
  </w:style>
  <w:style w:type="paragraph" w:styleId="715">
    <w:name w:val="Основной текст с отступом 3"/>
    <w:basedOn w:val="701"/>
    <w:next w:val="715"/>
    <w:link w:val="701"/>
    <w:pPr>
      <w:pBdr/>
      <w:spacing w:after="120"/>
      <w:ind w:left="283"/>
    </w:pPr>
    <w:rPr>
      <w:sz w:val="16"/>
      <w:szCs w:val="16"/>
    </w:rPr>
  </w:style>
  <w:style w:type="paragraph" w:styleId="716">
    <w:name w:val="Текст выноски"/>
    <w:basedOn w:val="701"/>
    <w:next w:val="716"/>
    <w:link w:val="717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17">
    <w:name w:val="Текст выноски Знак"/>
    <w:next w:val="717"/>
    <w:link w:val="716"/>
    <w:uiPriority w:val="99"/>
    <w:semiHidden/>
    <w:pPr>
      <w:pBdr/>
      <w:spacing/>
      <w:ind/>
    </w:pPr>
    <w:rPr>
      <w:rFonts w:ascii="Segoe UI" w:hAnsi="Segoe UI" w:eastAsia="Tahoma" w:cs="Segoe UI"/>
      <w:color w:val="000000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35</cp:revision>
  <dcterms:created xsi:type="dcterms:W3CDTF">2022-12-12T06:50:00Z</dcterms:created>
  <dcterms:modified xsi:type="dcterms:W3CDTF">2026-01-30T06:16:16Z</dcterms:modified>
  <cp:version>1048576</cp:version>
</cp:coreProperties>
</file>